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C3BC9" w14:textId="0DC5F877" w:rsidR="00B92A43" w:rsidRDefault="00B92A43" w:rsidP="00B92A43">
      <w:pPr>
        <w:pStyle w:val="3GPPHeader"/>
        <w:rPr>
          <w:lang w:val="en-US"/>
        </w:rPr>
      </w:pPr>
      <w:r>
        <w:rPr>
          <w:lang w:val="en-US"/>
        </w:rPr>
        <w:t>3GPP TSG-RAN WG4 Meeting #110</w:t>
      </w:r>
      <w:r>
        <w:rPr>
          <w:lang w:val="en-US"/>
        </w:rPr>
        <w:tab/>
        <w:t>R4-</w:t>
      </w:r>
      <w:r w:rsidR="00DC1D1E" w:rsidRPr="00DC1D1E">
        <w:rPr>
          <w:lang w:val="en-US"/>
        </w:rPr>
        <w:t>2402902</w:t>
      </w:r>
    </w:p>
    <w:p w14:paraId="4EEE781E" w14:textId="77777777" w:rsidR="00B92A43" w:rsidRDefault="00B92A43" w:rsidP="00B92A43">
      <w:pPr>
        <w:pStyle w:val="3GPPHeader"/>
        <w:rPr>
          <w:lang w:val="en-US"/>
        </w:rPr>
      </w:pPr>
      <w:r>
        <w:rPr>
          <w:lang w:val="en-US"/>
        </w:rPr>
        <w:t>Athens, Greece, Feb 26 – Mar 01, 2024</w:t>
      </w:r>
    </w:p>
    <w:p w14:paraId="296AB74D" w14:textId="5F271D07" w:rsidR="00F354F0" w:rsidRPr="001665C6" w:rsidRDefault="00F354F0" w:rsidP="00F354F0">
      <w:pPr>
        <w:pStyle w:val="3GPPHeader"/>
      </w:pPr>
      <w:r w:rsidRPr="001665C6">
        <w:t>Agenda Item:</w:t>
      </w:r>
      <w:r w:rsidRPr="001665C6">
        <w:tab/>
      </w:r>
      <w:r w:rsidR="00B92A43" w:rsidRPr="00B92A43">
        <w:t>8.14.</w:t>
      </w:r>
      <w:r w:rsidR="004A4A82">
        <w:t>2</w:t>
      </w:r>
      <w:r w:rsidR="00B92A43" w:rsidRPr="00B92A43">
        <w:t>.</w:t>
      </w:r>
      <w:r w:rsidR="004A4A82">
        <w:t>4</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B65CA4C" w:rsidR="008A22CF" w:rsidRPr="001A5974" w:rsidRDefault="008A22CF" w:rsidP="0014682B">
      <w:pPr>
        <w:pStyle w:val="3GPPHeader"/>
        <w:ind w:left="284" w:hanging="284"/>
      </w:pPr>
      <w:r w:rsidRPr="001A5974">
        <w:t>Title:</w:t>
      </w:r>
      <w:r w:rsidRPr="001A5974">
        <w:tab/>
      </w:r>
      <w:r w:rsidR="00B92A43" w:rsidRPr="00B92A43">
        <w:t>Discussion on RedCap positioning maintenance</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828CCE1" w14:textId="3BBB02D6" w:rsidR="00B92A43" w:rsidRDefault="00B92A43" w:rsidP="00B92A43">
      <w:pPr>
        <w:jc w:val="both"/>
        <w:rPr>
          <w:lang w:val="en-US"/>
        </w:rPr>
      </w:pPr>
      <w:bookmarkStart w:id="0" w:name="_Hlk127303950"/>
      <w:r>
        <w:rPr>
          <w:lang w:val="en-US"/>
        </w:rPr>
        <w:t xml:space="preserve">The objective of introducing RRM core requirements for </w:t>
      </w:r>
      <w:r>
        <w:t>Rel-18 Positioning for RedCap UEs</w:t>
      </w:r>
      <w:r>
        <w:rPr>
          <w:lang w:val="en-US"/>
        </w:rPr>
        <w:t xml:space="preserve"> was completed in RAN4#109. However, there are some remaining issues in the RRM core part related to the </w:t>
      </w:r>
      <w:r w:rsidR="00B00D5A">
        <w:rPr>
          <w:lang w:val="en-US"/>
        </w:rPr>
        <w:t>frequency hopping (FH)</w:t>
      </w:r>
      <w:r>
        <w:rPr>
          <w:lang w:val="en-US"/>
        </w:rPr>
        <w:t xml:space="preserve"> positioning requirements as </w:t>
      </w:r>
      <w:r>
        <w:t xml:space="preserve">in the WF </w:t>
      </w:r>
      <w:r>
        <w:fldChar w:fldCharType="begin"/>
      </w:r>
      <w:r>
        <w:instrText xml:space="preserve"> REF _Ref127556755 \r \h </w:instrText>
      </w:r>
      <w:r>
        <w:fldChar w:fldCharType="separate"/>
      </w:r>
      <w:r>
        <w:t>[1]</w:t>
      </w:r>
      <w:r>
        <w:fldChar w:fldCharType="end"/>
      </w:r>
      <w:r>
        <w:t xml:space="preserve"> which </w:t>
      </w:r>
      <w:r>
        <w:rPr>
          <w:lang w:val="en-US"/>
        </w:rPr>
        <w:t xml:space="preserve">need to be addressed. </w:t>
      </w:r>
      <w:r>
        <w:t>In this paper we discuss these requirements and provide our view.</w:t>
      </w:r>
    </w:p>
    <w:bookmarkEnd w:id="0"/>
    <w:p w14:paraId="1CE0EC8A" w14:textId="77777777" w:rsidR="00B92A43" w:rsidRDefault="00B92A43" w:rsidP="006D75DD">
      <w:pPr>
        <w:jc w:val="both"/>
      </w:pPr>
    </w:p>
    <w:p w14:paraId="1774676C" w14:textId="07B67297" w:rsidR="00775E73" w:rsidRPr="00775E73" w:rsidRDefault="006913F6" w:rsidP="00775E73">
      <w:pPr>
        <w:pStyle w:val="Heading1"/>
        <w:numPr>
          <w:ilvl w:val="0"/>
          <w:numId w:val="3"/>
        </w:numPr>
        <w:rPr>
          <w:lang w:val="en-US"/>
        </w:rPr>
      </w:pPr>
      <w:r w:rsidRPr="009011F0">
        <w:rPr>
          <w:lang w:val="en-US"/>
        </w:rPr>
        <w:t>Discussion</w:t>
      </w:r>
    </w:p>
    <w:p w14:paraId="66F4D133" w14:textId="5F525585" w:rsidR="00B00D5A" w:rsidRDefault="00775E73" w:rsidP="00B00D5A">
      <w:pPr>
        <w:jc w:val="both"/>
      </w:pPr>
      <w:r>
        <w:rPr>
          <w:bCs/>
        </w:rPr>
        <w:t xml:space="preserve">RedCap UEs are reduced capability devices </w:t>
      </w:r>
      <w:r w:rsidR="00B92A43">
        <w:rPr>
          <w:bCs/>
        </w:rPr>
        <w:t xml:space="preserve">with either 1Rx or 2Rx receive antenna. </w:t>
      </w:r>
      <w:r w:rsidR="00B00D5A">
        <w:rPr>
          <w:bCs/>
        </w:rPr>
        <w:t xml:space="preserve">The supported BW, as a result, can be limited to e.g., 20 MHz. When to-be-measured positioning resources are spread over a larger BW, RedCap UE may require performing FH, depending on UE capability. When no FH is needed (i.e., PRS resources are already covered by the UE BW capability), the RRM requirements are defined based on the same principle of non-RedCap UEs. </w:t>
      </w:r>
    </w:p>
    <w:p w14:paraId="607EC6AD" w14:textId="029BB231" w:rsidR="00B00D5A" w:rsidRDefault="00B00D5A" w:rsidP="00B00D5A">
      <w:pPr>
        <w:jc w:val="both"/>
        <w:rPr>
          <w:bCs/>
        </w:rPr>
      </w:pPr>
      <w:r>
        <w:rPr>
          <w:bCs/>
        </w:rPr>
        <w:t xml:space="preserve">Regarding positioning requirements for RedCap UEs when FH is required, RAN4 made the following agreements in the last meeting </w:t>
      </w:r>
      <w:r>
        <w:fldChar w:fldCharType="begin"/>
      </w:r>
      <w:r>
        <w:instrText xml:space="preserve"> REF _Ref127556755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B00D5A" w14:paraId="042E26E3" w14:textId="77777777" w:rsidTr="00B00D5A">
        <w:tc>
          <w:tcPr>
            <w:tcW w:w="9629" w:type="dxa"/>
          </w:tcPr>
          <w:p w14:paraId="099D3BAD" w14:textId="77777777" w:rsidR="00B00D5A" w:rsidRDefault="00B00D5A" w:rsidP="00B00D5A">
            <w:pPr>
              <w:spacing w:before="120"/>
              <w:rPr>
                <w:rFonts w:ascii="Times New Roman" w:eastAsia="SimSun" w:hAnsi="Times New Roman" w:cs="Times New Roman"/>
                <w:b/>
                <w:bCs/>
                <w:u w:val="single"/>
                <w:lang w:eastAsia="en-GB"/>
              </w:rPr>
            </w:pPr>
            <w:r>
              <w:rPr>
                <w:b/>
                <w:bCs/>
                <w:u w:val="single"/>
                <w:lang w:eastAsia="en-GB"/>
              </w:rPr>
              <w:t>Issue 2-3-4: Measurement sample definition under FH</w:t>
            </w:r>
          </w:p>
          <w:p w14:paraId="700711DE" w14:textId="77777777" w:rsidR="00B00D5A" w:rsidRDefault="00B00D5A" w:rsidP="00B00D5A">
            <w:pPr>
              <w:rPr>
                <w:b/>
                <w:bCs/>
                <w:iCs/>
                <w:u w:val="single"/>
                <w:lang w:val="en-US"/>
              </w:rPr>
            </w:pPr>
            <w:r>
              <w:rPr>
                <w:b/>
                <w:bCs/>
                <w:iCs/>
                <w:highlight w:val="green"/>
                <w:u w:val="single"/>
                <w:lang w:val="en-US"/>
              </w:rPr>
              <w:t>Agreements</w:t>
            </w:r>
            <w:r>
              <w:rPr>
                <w:i/>
                <w:highlight w:val="green"/>
                <w:lang w:val="en-US"/>
              </w:rPr>
              <w:t>:</w:t>
            </w:r>
          </w:p>
          <w:p w14:paraId="5A45706D" w14:textId="77777777" w:rsidR="00B00D5A" w:rsidRDefault="00B00D5A" w:rsidP="00B00D5A">
            <w:pPr>
              <w:pStyle w:val="ListParagraph"/>
              <w:numPr>
                <w:ilvl w:val="0"/>
                <w:numId w:val="48"/>
              </w:numPr>
              <w:spacing w:after="120" w:line="240" w:lineRule="auto"/>
              <w:ind w:left="357" w:hanging="357"/>
              <w:contextualSpacing/>
              <w:rPr>
                <w:rFonts w:ascii="Times New Roman" w:eastAsia="SimSun" w:hAnsi="Times New Roman"/>
                <w:lang w:val="en-US" w:eastAsia="ja-JP"/>
              </w:rPr>
            </w:pPr>
            <w:r>
              <w:rPr>
                <w:rFonts w:ascii="Times New Roman" w:hAnsi="Times New Roman"/>
                <w:lang w:eastAsia="ja-JP"/>
              </w:rPr>
              <w:t>Measurement sample under FH is defined as a PRS measurement over multiple hops within a single measurement gap.</w:t>
            </w:r>
          </w:p>
          <w:p w14:paraId="5E24FBBD" w14:textId="77777777" w:rsidR="00B00D5A" w:rsidRDefault="00B00D5A" w:rsidP="00B00D5A">
            <w:pPr>
              <w:spacing w:before="120"/>
              <w:rPr>
                <w:rFonts w:ascii="Times New Roman" w:hAnsi="Times New Roman"/>
                <w:b/>
                <w:bCs/>
                <w:u w:val="single"/>
                <w:lang w:eastAsia="en-GB"/>
              </w:rPr>
            </w:pPr>
            <w:r>
              <w:rPr>
                <w:b/>
                <w:bCs/>
                <w:u w:val="single"/>
                <w:lang w:eastAsia="en-GB"/>
              </w:rPr>
              <w:t>Issue 2-3-6: Number of hops within a single MG occasion</w:t>
            </w:r>
          </w:p>
          <w:p w14:paraId="4BDA5C79" w14:textId="77777777" w:rsidR="00B00D5A" w:rsidRDefault="00B00D5A" w:rsidP="00B00D5A">
            <w:pPr>
              <w:rPr>
                <w:b/>
                <w:bCs/>
                <w:iCs/>
                <w:u w:val="single"/>
                <w:lang w:val="en-US"/>
              </w:rPr>
            </w:pPr>
            <w:r>
              <w:rPr>
                <w:b/>
                <w:bCs/>
                <w:iCs/>
                <w:highlight w:val="green"/>
                <w:u w:val="single"/>
                <w:lang w:val="en-US"/>
              </w:rPr>
              <w:t>Agreements</w:t>
            </w:r>
            <w:r>
              <w:rPr>
                <w:i/>
                <w:highlight w:val="green"/>
                <w:lang w:val="en-US"/>
              </w:rPr>
              <w:t>:</w:t>
            </w:r>
          </w:p>
          <w:p w14:paraId="131A6D7E" w14:textId="77777777" w:rsidR="00B00D5A" w:rsidRDefault="00B00D5A" w:rsidP="00B00D5A">
            <w:pPr>
              <w:pStyle w:val="ListParagraph"/>
              <w:numPr>
                <w:ilvl w:val="0"/>
                <w:numId w:val="48"/>
              </w:numPr>
              <w:spacing w:after="120" w:line="240" w:lineRule="auto"/>
              <w:ind w:left="357" w:hanging="357"/>
              <w:contextualSpacing/>
              <w:rPr>
                <w:rFonts w:ascii="Times New Roman" w:eastAsia="SimSun" w:hAnsi="Times New Roman"/>
                <w:lang w:val="en-US" w:eastAsia="ja-JP"/>
              </w:rPr>
            </w:pPr>
            <w:r>
              <w:rPr>
                <w:rFonts w:ascii="Times New Roman" w:hAnsi="Times New Roman"/>
                <w:lang w:eastAsia="ja-JP"/>
              </w:rPr>
              <w:t xml:space="preserve">Number of hops within a single MG occasion is defined as a requirement. The details are </w:t>
            </w:r>
            <w:r w:rsidRPr="00B00D5A">
              <w:rPr>
                <w:rFonts w:ascii="Times New Roman" w:hAnsi="Times New Roman"/>
                <w:highlight w:val="yellow"/>
                <w:lang w:eastAsia="ja-JP"/>
              </w:rPr>
              <w:t>FFS</w:t>
            </w:r>
            <w:r>
              <w:rPr>
                <w:rFonts w:ascii="Times New Roman" w:hAnsi="Times New Roman"/>
                <w:lang w:eastAsia="ja-JP"/>
              </w:rPr>
              <w:t>:</w:t>
            </w:r>
          </w:p>
          <w:p w14:paraId="77E744F3" w14:textId="77777777" w:rsidR="00B00D5A" w:rsidRDefault="00B00D5A" w:rsidP="00B00D5A">
            <w:pPr>
              <w:spacing w:before="120"/>
              <w:rPr>
                <w:rFonts w:ascii="Times New Roman" w:hAnsi="Times New Roman"/>
                <w:b/>
                <w:bCs/>
                <w:u w:val="single"/>
                <w:lang w:eastAsia="en-GB"/>
              </w:rPr>
            </w:pPr>
            <w:r>
              <w:rPr>
                <w:b/>
                <w:bCs/>
                <w:u w:val="single"/>
                <w:lang w:eastAsia="en-GB"/>
              </w:rPr>
              <w:t>Issue 2-3-7: Type of PRS measurement requirements with FH</w:t>
            </w:r>
          </w:p>
          <w:p w14:paraId="7E4D17BC" w14:textId="77777777" w:rsidR="00B00D5A" w:rsidRDefault="00B00D5A" w:rsidP="00B00D5A">
            <w:pPr>
              <w:rPr>
                <w:b/>
                <w:bCs/>
                <w:iCs/>
                <w:u w:val="single"/>
                <w:lang w:val="en-US"/>
              </w:rPr>
            </w:pPr>
            <w:r>
              <w:rPr>
                <w:b/>
                <w:bCs/>
                <w:iCs/>
                <w:highlight w:val="green"/>
                <w:u w:val="single"/>
                <w:lang w:val="en-US"/>
              </w:rPr>
              <w:t>Agreements</w:t>
            </w:r>
            <w:r>
              <w:rPr>
                <w:i/>
                <w:highlight w:val="green"/>
                <w:lang w:val="en-US"/>
              </w:rPr>
              <w:t>:</w:t>
            </w:r>
          </w:p>
          <w:p w14:paraId="1183B11C" w14:textId="7F0A56A4" w:rsidR="00B00D5A" w:rsidRPr="00B00D5A" w:rsidRDefault="00B00D5A" w:rsidP="00B00D5A">
            <w:pPr>
              <w:pStyle w:val="ListParagraph"/>
              <w:numPr>
                <w:ilvl w:val="0"/>
                <w:numId w:val="48"/>
              </w:numPr>
              <w:spacing w:after="120" w:line="240" w:lineRule="auto"/>
              <w:ind w:left="357" w:hanging="357"/>
              <w:contextualSpacing/>
              <w:rPr>
                <w:rFonts w:ascii="Times New Roman" w:eastAsia="SimSun" w:hAnsi="Times New Roman"/>
                <w:lang w:val="en-US" w:eastAsia="ja-JP"/>
              </w:rPr>
            </w:pPr>
            <w:r>
              <w:rPr>
                <w:rFonts w:ascii="Times New Roman" w:hAnsi="Times New Roman"/>
                <w:lang w:eastAsia="ja-JP"/>
              </w:rPr>
              <w:t>RAN4 to define requirements for positioning measurement based on multiple hops.</w:t>
            </w:r>
          </w:p>
        </w:tc>
      </w:tr>
    </w:tbl>
    <w:p w14:paraId="36656515" w14:textId="77777777" w:rsidR="00B00D5A" w:rsidRDefault="00B00D5A" w:rsidP="00B00D5A">
      <w:pPr>
        <w:jc w:val="both"/>
        <w:rPr>
          <w:bCs/>
        </w:rPr>
      </w:pPr>
    </w:p>
    <w:p w14:paraId="2EDAD8E5" w14:textId="0EE8CA8E" w:rsidR="00B00D5A" w:rsidRDefault="00B00D5A" w:rsidP="00B00D5A">
      <w:pPr>
        <w:jc w:val="both"/>
        <w:rPr>
          <w:bCs/>
        </w:rPr>
      </w:pPr>
      <w:r>
        <w:rPr>
          <w:bCs/>
        </w:rPr>
        <w:lastRenderedPageBreak/>
        <w:t xml:space="preserve">Given the above agreements, we also recall RAN1 previous agreement, captured below </w:t>
      </w:r>
      <w:r>
        <w:rPr>
          <w:bCs/>
        </w:rPr>
        <w:fldChar w:fldCharType="begin"/>
      </w:r>
      <w:r>
        <w:rPr>
          <w:bCs/>
        </w:rPr>
        <w:instrText xml:space="preserve"> REF _Ref142312034 \r \h </w:instrText>
      </w:r>
      <w:r>
        <w:rPr>
          <w:bCs/>
        </w:rPr>
      </w:r>
      <w:r>
        <w:rPr>
          <w:bCs/>
        </w:rPr>
        <w:fldChar w:fldCharType="separate"/>
      </w:r>
      <w:r>
        <w:rPr>
          <w:bCs/>
        </w:rPr>
        <w:t>[2]</w:t>
      </w:r>
      <w:r>
        <w:rPr>
          <w:bCs/>
        </w:rPr>
        <w:fldChar w:fldCharType="end"/>
      </w:r>
      <w:r>
        <w:rPr>
          <w:bCs/>
        </w:rPr>
        <w:t xml:space="preserve">, showing that a single measurement gap is used to receive all the hops in the DL PRS with Rx frequency hopping. </w:t>
      </w:r>
    </w:p>
    <w:tbl>
      <w:tblPr>
        <w:tblStyle w:val="TableGrid"/>
        <w:tblW w:w="0" w:type="auto"/>
        <w:tblLook w:val="04A0" w:firstRow="1" w:lastRow="0" w:firstColumn="1" w:lastColumn="0" w:noHBand="0" w:noVBand="1"/>
      </w:tblPr>
      <w:tblGrid>
        <w:gridCol w:w="9307"/>
      </w:tblGrid>
      <w:tr w:rsidR="00B00D5A" w14:paraId="10F75453" w14:textId="77777777" w:rsidTr="00B00D5A">
        <w:tc>
          <w:tcPr>
            <w:tcW w:w="9307" w:type="dxa"/>
            <w:tcBorders>
              <w:top w:val="single" w:sz="4" w:space="0" w:color="auto"/>
              <w:left w:val="single" w:sz="4" w:space="0" w:color="auto"/>
              <w:bottom w:val="single" w:sz="4" w:space="0" w:color="auto"/>
              <w:right w:val="single" w:sz="4" w:space="0" w:color="auto"/>
            </w:tcBorders>
          </w:tcPr>
          <w:p w14:paraId="15F16FF1" w14:textId="77777777" w:rsidR="00B00D5A" w:rsidRDefault="00B00D5A">
            <w:pPr>
              <w:rPr>
                <w:rFonts w:eastAsia="Yu Mincho"/>
                <w:b/>
                <w:szCs w:val="20"/>
                <w:lang w:val="en-US" w:eastAsia="ja-JP"/>
              </w:rPr>
            </w:pPr>
            <w:r>
              <w:rPr>
                <w:b/>
                <w:bCs/>
                <w:lang w:val="en-US" w:eastAsia="ja-JP"/>
              </w:rPr>
              <w:t xml:space="preserve"> </w:t>
            </w:r>
            <w:r>
              <w:rPr>
                <w:rFonts w:eastAsia="Yu Mincho"/>
                <w:b/>
                <w:szCs w:val="20"/>
                <w:highlight w:val="green"/>
                <w:lang w:val="en-US" w:eastAsia="ja-JP"/>
              </w:rPr>
              <w:t>Agreement</w:t>
            </w:r>
          </w:p>
          <w:p w14:paraId="6A601EEE" w14:textId="77777777" w:rsidR="00B00D5A" w:rsidRDefault="00B00D5A">
            <w:pPr>
              <w:rPr>
                <w:bCs/>
                <w:szCs w:val="20"/>
                <w:lang w:val="en-US" w:eastAsia="ja-JP"/>
              </w:rPr>
            </w:pPr>
            <w:r>
              <w:rPr>
                <w:bCs/>
                <w:szCs w:val="20"/>
                <w:lang w:val="en-US" w:eastAsia="ja-JP"/>
              </w:rPr>
              <w:t>From RAN1 perspective, for DL PRS Rx hopping, a single instance of a measurement gap is used for receiving all the hops for DL PRS with Rx frequency hopping.</w:t>
            </w:r>
          </w:p>
          <w:p w14:paraId="048F7B03" w14:textId="77777777" w:rsidR="00B00D5A" w:rsidRDefault="00B00D5A" w:rsidP="00B00D5A">
            <w:pPr>
              <w:pStyle w:val="ListParagraph"/>
              <w:numPr>
                <w:ilvl w:val="0"/>
                <w:numId w:val="47"/>
              </w:numPr>
              <w:snapToGrid w:val="0"/>
              <w:spacing w:line="240" w:lineRule="auto"/>
              <w:contextualSpacing/>
              <w:jc w:val="both"/>
              <w:textAlignment w:val="baseline"/>
              <w:rPr>
                <w:rFonts w:ascii="Times New Roman" w:hAnsi="Times New Roman"/>
                <w:szCs w:val="20"/>
                <w:lang w:val="en-US" w:eastAsia="ja-JP"/>
              </w:rPr>
            </w:pPr>
            <w:r>
              <w:rPr>
                <w:rFonts w:ascii="Times New Roman" w:hAnsi="Times New Roman"/>
                <w:szCs w:val="20"/>
                <w:lang w:val="en-US" w:eastAsia="ja-JP"/>
              </w:rPr>
              <w:t>Note: this does not assume that the reported measurement has to be based on a single instance of a measurement gap</w:t>
            </w:r>
          </w:p>
          <w:p w14:paraId="2BB319F3" w14:textId="37B14ACE" w:rsidR="00B00D5A" w:rsidRPr="00B00D5A" w:rsidRDefault="00B00D5A" w:rsidP="00B00D5A">
            <w:pPr>
              <w:pStyle w:val="ListParagraph"/>
              <w:numPr>
                <w:ilvl w:val="0"/>
                <w:numId w:val="47"/>
              </w:numPr>
              <w:snapToGrid w:val="0"/>
              <w:spacing w:line="240" w:lineRule="auto"/>
              <w:contextualSpacing/>
              <w:jc w:val="both"/>
              <w:textAlignment w:val="baseline"/>
              <w:rPr>
                <w:rFonts w:ascii="Times New Roman" w:hAnsi="Times New Roman"/>
                <w:szCs w:val="20"/>
                <w:lang w:val="en-US" w:eastAsia="ja-JP"/>
              </w:rPr>
            </w:pPr>
            <w:r>
              <w:rPr>
                <w:rFonts w:ascii="Times New Roman" w:hAnsi="Times New Roman"/>
                <w:szCs w:val="20"/>
                <w:lang w:val="en-US" w:eastAsia="ja-JP"/>
              </w:rPr>
              <w:t>Send an LS to RAN4 to confirm RAN1’s understanding, and if needed ensure that the measurement gap has the proper duration.</w:t>
            </w:r>
          </w:p>
        </w:tc>
      </w:tr>
    </w:tbl>
    <w:p w14:paraId="769A2205" w14:textId="42F99A63" w:rsidR="00B00D5A" w:rsidRDefault="00B00D5A" w:rsidP="00B00D5A">
      <w:pPr>
        <w:jc w:val="both"/>
        <w:rPr>
          <w:bCs/>
        </w:rPr>
      </w:pPr>
    </w:p>
    <w:p w14:paraId="7CA4901E" w14:textId="4AAEECFF" w:rsidR="00823ACE" w:rsidRDefault="00823ACE" w:rsidP="00B00D5A">
      <w:pPr>
        <w:jc w:val="both"/>
        <w:rPr>
          <w:bCs/>
        </w:rPr>
      </w:pPr>
      <w:r>
        <w:rPr>
          <w:bCs/>
        </w:rPr>
        <w:t xml:space="preserve">Also highlighting the corresponding part in RAN1 spec </w:t>
      </w:r>
      <w:r>
        <w:rPr>
          <w:bCs/>
        </w:rPr>
        <w:fldChar w:fldCharType="begin"/>
      </w:r>
      <w:r>
        <w:rPr>
          <w:bCs/>
        </w:rPr>
        <w:instrText xml:space="preserve"> REF _Ref110524165 \r \h </w:instrText>
      </w:r>
      <w:r>
        <w:rPr>
          <w:bCs/>
        </w:rPr>
      </w:r>
      <w:r>
        <w:rPr>
          <w:bCs/>
        </w:rPr>
        <w:fldChar w:fldCharType="separate"/>
      </w:r>
      <w:r>
        <w:rPr>
          <w:bCs/>
        </w:rPr>
        <w:t>[3]</w:t>
      </w:r>
      <w:r>
        <w:rPr>
          <w:bCs/>
        </w:rPr>
        <w:fldChar w:fldCharType="end"/>
      </w:r>
      <w:r>
        <w:rPr>
          <w:bCs/>
        </w:rPr>
        <w:t xml:space="preserve">: </w:t>
      </w:r>
    </w:p>
    <w:tbl>
      <w:tblPr>
        <w:tblStyle w:val="TableGrid"/>
        <w:tblW w:w="0" w:type="auto"/>
        <w:tblLook w:val="04A0" w:firstRow="1" w:lastRow="0" w:firstColumn="1" w:lastColumn="0" w:noHBand="0" w:noVBand="1"/>
      </w:tblPr>
      <w:tblGrid>
        <w:gridCol w:w="9629"/>
      </w:tblGrid>
      <w:tr w:rsidR="00823ACE" w14:paraId="2B8A5D5D" w14:textId="77777777" w:rsidTr="00823ACE">
        <w:tc>
          <w:tcPr>
            <w:tcW w:w="9629" w:type="dxa"/>
          </w:tcPr>
          <w:p w14:paraId="5410A3CF" w14:textId="77777777" w:rsidR="00823ACE" w:rsidRDefault="00823ACE" w:rsidP="00823ACE">
            <w:pPr>
              <w:pStyle w:val="Heading5"/>
              <w:outlineLvl w:val="4"/>
              <w:rPr>
                <w:rFonts w:eastAsia="SimSun"/>
              </w:rPr>
            </w:pPr>
            <w:bookmarkStart w:id="1" w:name="_Toc145348692"/>
            <w:bookmarkStart w:id="2" w:name="_Toc155777343"/>
            <w:r>
              <w:rPr>
                <w:rFonts w:eastAsia="SimSun"/>
              </w:rPr>
              <w:t>5.1.6.5.1</w:t>
            </w:r>
            <w:r>
              <w:rPr>
                <w:rFonts w:eastAsia="SimSun"/>
              </w:rPr>
              <w:tab/>
            </w:r>
            <w:bookmarkEnd w:id="1"/>
            <w:r>
              <w:rPr>
                <w:rFonts w:eastAsia="SimSun"/>
              </w:rPr>
              <w:t>PRS receiver frequency hopping</w:t>
            </w:r>
            <w:bookmarkEnd w:id="2"/>
          </w:p>
          <w:p w14:paraId="12F3BC45" w14:textId="0E882792" w:rsidR="00823ACE" w:rsidRPr="00823ACE" w:rsidRDefault="00823ACE" w:rsidP="00823ACE">
            <w:pPr>
              <w:rPr>
                <w:rFonts w:eastAsia="SimSun"/>
              </w:rPr>
            </w:pPr>
            <w:r>
              <w:t>The reduced capability UE may be configured to measure and report, subject to UE capability, via [</w:t>
            </w:r>
            <w:r>
              <w:rPr>
                <w:i/>
                <w:iCs/>
              </w:rPr>
              <w:t>nr-Requested-DL-PRS-measurementBasedOnMultihopRx</w:t>
            </w:r>
            <w:r>
              <w:t>]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Pr>
                <w:i/>
                <w:iCs/>
              </w:rPr>
              <w:t>higher layer parameter</w:t>
            </w:r>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w:t>
            </w:r>
            <w:r w:rsidRPr="00823ACE">
              <w:rPr>
                <w:highlight w:val="yellow"/>
              </w:rPr>
              <w:t>the reduced capability UE is expected to use a single instance of a configured measurement gap to receive all hops of the DL PRS using receiver frequency hopping</w:t>
            </w:r>
            <w:r>
              <w:t xml:space="preserve">. </w:t>
            </w:r>
          </w:p>
        </w:tc>
      </w:tr>
    </w:tbl>
    <w:p w14:paraId="4D2F1A18" w14:textId="77777777" w:rsidR="00823ACE" w:rsidRDefault="00823ACE" w:rsidP="00B00D5A">
      <w:pPr>
        <w:jc w:val="both"/>
        <w:rPr>
          <w:bCs/>
        </w:rPr>
      </w:pPr>
    </w:p>
    <w:p w14:paraId="5E64DA89" w14:textId="6D78FC73" w:rsidR="00B00D5A" w:rsidRDefault="00B00D5A" w:rsidP="00B00D5A">
      <w:pPr>
        <w:jc w:val="both"/>
        <w:rPr>
          <w:bCs/>
        </w:rPr>
      </w:pPr>
      <w:r>
        <w:rPr>
          <w:bCs/>
        </w:rPr>
        <w:t xml:space="preserve">Given that all the hops in the DL PRS should be received in a single instance of a measurement gap, RAN4 previously confirmed </w:t>
      </w:r>
      <w:r w:rsidRPr="00B00D5A">
        <w:rPr>
          <w:bCs/>
        </w:rPr>
        <w:t>th</w:t>
      </w:r>
      <w:r>
        <w:rPr>
          <w:bCs/>
        </w:rPr>
        <w:t>at the</w:t>
      </w:r>
      <w:r w:rsidRPr="00B00D5A">
        <w:rPr>
          <w:bCs/>
        </w:rPr>
        <w:t xml:space="preserve"> existing MG durations are sufficient to receive all the hops </w:t>
      </w:r>
      <w:r>
        <w:rPr>
          <w:bCs/>
        </w:rPr>
        <w:t xml:space="preserve">when specific PRS configurations are deployed. </w:t>
      </w:r>
      <w:r w:rsidRPr="00B00D5A">
        <w:rPr>
          <w:bCs/>
        </w:rPr>
        <w:t>There are several elements which could impact the reception of all DL PRS hopping, which include</w:t>
      </w:r>
      <w:r>
        <w:rPr>
          <w:bCs/>
        </w:rPr>
        <w:t xml:space="preserve"> </w:t>
      </w:r>
    </w:p>
    <w:p w14:paraId="54E60B43" w14:textId="7D9CB018" w:rsidR="00823ACE" w:rsidRDefault="00823ACE" w:rsidP="00B00D5A">
      <w:pPr>
        <w:pStyle w:val="ListParagraph"/>
        <w:numPr>
          <w:ilvl w:val="0"/>
          <w:numId w:val="49"/>
        </w:numPr>
        <w:spacing w:line="256" w:lineRule="auto"/>
        <w:jc w:val="both"/>
        <w:rPr>
          <w:bCs/>
        </w:rPr>
      </w:pPr>
      <w:r>
        <w:rPr>
          <w:bCs/>
        </w:rPr>
        <w:t>MGL of measurement gaps</w:t>
      </w:r>
    </w:p>
    <w:p w14:paraId="5E209302" w14:textId="46A6F92D" w:rsidR="00B00D5A" w:rsidRDefault="00823ACE" w:rsidP="00B00D5A">
      <w:pPr>
        <w:pStyle w:val="ListParagraph"/>
        <w:numPr>
          <w:ilvl w:val="0"/>
          <w:numId w:val="49"/>
        </w:numPr>
        <w:spacing w:line="256" w:lineRule="auto"/>
        <w:jc w:val="both"/>
        <w:rPr>
          <w:bCs/>
        </w:rPr>
      </w:pPr>
      <w:r>
        <w:rPr>
          <w:bCs/>
        </w:rPr>
        <w:t>Total nu</w:t>
      </w:r>
      <w:r w:rsidR="00B00D5A">
        <w:rPr>
          <w:bCs/>
        </w:rPr>
        <w:t xml:space="preserve">mber of hops, </w:t>
      </w:r>
    </w:p>
    <w:p w14:paraId="22B49A61" w14:textId="77777777" w:rsidR="00B00D5A" w:rsidRDefault="00B00D5A" w:rsidP="00B00D5A">
      <w:pPr>
        <w:pStyle w:val="ListParagraph"/>
        <w:numPr>
          <w:ilvl w:val="0"/>
          <w:numId w:val="49"/>
        </w:numPr>
        <w:spacing w:line="256" w:lineRule="auto"/>
        <w:jc w:val="both"/>
        <w:rPr>
          <w:bCs/>
        </w:rPr>
      </w:pPr>
      <w:r>
        <w:rPr>
          <w:bCs/>
        </w:rPr>
        <w:t xml:space="preserve">Switching time between hops, </w:t>
      </w:r>
    </w:p>
    <w:p w14:paraId="05934F3D" w14:textId="77777777" w:rsidR="00B00D5A" w:rsidRDefault="00B00D5A" w:rsidP="00B00D5A">
      <w:pPr>
        <w:pStyle w:val="ListParagraph"/>
        <w:numPr>
          <w:ilvl w:val="0"/>
          <w:numId w:val="49"/>
        </w:numPr>
        <w:spacing w:line="256" w:lineRule="auto"/>
        <w:jc w:val="both"/>
        <w:rPr>
          <w:bCs/>
        </w:rPr>
      </w:pPr>
      <w:r>
        <w:rPr>
          <w:bCs/>
        </w:rPr>
        <w:t>PRS reception duration after each hop (can be slot or sub-slot)</w:t>
      </w:r>
    </w:p>
    <w:p w14:paraId="7F537C05" w14:textId="77777777" w:rsidR="00B00D5A" w:rsidRDefault="00B00D5A" w:rsidP="00B00D5A">
      <w:pPr>
        <w:pStyle w:val="ListParagraph"/>
        <w:numPr>
          <w:ilvl w:val="0"/>
          <w:numId w:val="49"/>
        </w:numPr>
        <w:spacing w:line="256" w:lineRule="auto"/>
        <w:jc w:val="both"/>
        <w:rPr>
          <w:bCs/>
        </w:rPr>
      </w:pPr>
      <w:r>
        <w:rPr>
          <w:bCs/>
        </w:rPr>
        <w:t>PRS configurations (PRS repetition factor, PRS resource time gap, etc.)</w:t>
      </w:r>
    </w:p>
    <w:p w14:paraId="4BF28365" w14:textId="77777777" w:rsidR="00823ACE" w:rsidRDefault="00823ACE" w:rsidP="00B00D5A">
      <w:pPr>
        <w:jc w:val="both"/>
        <w:rPr>
          <w:bCs/>
        </w:rPr>
      </w:pPr>
    </w:p>
    <w:p w14:paraId="5B4C4E92" w14:textId="7540183F" w:rsidR="00B00D5A" w:rsidRDefault="00823ACE" w:rsidP="00B00D5A">
      <w:pPr>
        <w:jc w:val="both"/>
        <w:rPr>
          <w:bCs/>
        </w:rPr>
      </w:pPr>
      <w:r>
        <w:rPr>
          <w:bCs/>
        </w:rPr>
        <w:t xml:space="preserve">To address the </w:t>
      </w:r>
      <w:r w:rsidRPr="00823ACE">
        <w:rPr>
          <w:bCs/>
          <w:highlight w:val="yellow"/>
        </w:rPr>
        <w:t>FFS</w:t>
      </w:r>
      <w:r>
        <w:rPr>
          <w:bCs/>
        </w:rPr>
        <w:t xml:space="preserve"> part in </w:t>
      </w:r>
      <w:r w:rsidRPr="00823ACE">
        <w:rPr>
          <w:b/>
        </w:rPr>
        <w:t>Issue 2-3-6</w:t>
      </w:r>
      <w:r>
        <w:rPr>
          <w:bCs/>
        </w:rPr>
        <w:t xml:space="preserve">, </w:t>
      </w:r>
      <w:r w:rsidR="00B00D5A">
        <w:rPr>
          <w:bCs/>
        </w:rPr>
        <w:t xml:space="preserve">and in order to align with RAN1 previous agreement, when the number </w:t>
      </w:r>
      <w:r w:rsidR="00B00D5A" w:rsidRPr="00B00D5A">
        <w:rPr>
          <w:bCs/>
        </w:rPr>
        <w:t>of hops within a single MG occasion</w:t>
      </w:r>
      <w:r w:rsidR="00B00D5A">
        <w:rPr>
          <w:bCs/>
        </w:rPr>
        <w:t xml:space="preserve"> is equal to the total number of hops</w:t>
      </w:r>
      <w:r>
        <w:rPr>
          <w:bCs/>
        </w:rPr>
        <w:t xml:space="preserve"> as shown in </w:t>
      </w:r>
      <w:r>
        <w:rPr>
          <w:bCs/>
        </w:rPr>
        <w:fldChar w:fldCharType="begin"/>
      </w:r>
      <w:r>
        <w:rPr>
          <w:bCs/>
        </w:rPr>
        <w:instrText xml:space="preserve"> REF _Ref159258732 \h </w:instrText>
      </w:r>
      <w:r>
        <w:rPr>
          <w:bCs/>
        </w:rPr>
      </w:r>
      <w:r>
        <w:rPr>
          <w:bCs/>
        </w:rPr>
        <w:fldChar w:fldCharType="separate"/>
      </w:r>
      <w:r>
        <w:t xml:space="preserve">Figure </w:t>
      </w:r>
      <w:r>
        <w:rPr>
          <w:noProof/>
        </w:rPr>
        <w:t>1</w:t>
      </w:r>
      <w:r>
        <w:rPr>
          <w:bCs/>
        </w:rPr>
        <w:fldChar w:fldCharType="end"/>
      </w:r>
      <w:r w:rsidR="00B00D5A">
        <w:rPr>
          <w:bCs/>
        </w:rPr>
        <w:t>, the measurement delay requirements for FH can reuse the same principle of R17 positioning measurement delay with ga</w:t>
      </w:r>
      <w:r>
        <w:rPr>
          <w:bCs/>
        </w:rPr>
        <w:t>p</w:t>
      </w:r>
      <w:r w:rsidR="00B00D5A">
        <w:rPr>
          <w:bCs/>
        </w:rPr>
        <w:t xml:space="preserve">. Otherwise, when only some of the hops </w:t>
      </w:r>
      <w:r>
        <w:rPr>
          <w:bCs/>
        </w:rPr>
        <w:t>are</w:t>
      </w:r>
      <w:r w:rsidR="00B00D5A">
        <w:rPr>
          <w:bCs/>
        </w:rPr>
        <w:t xml:space="preserve"> received with</w:t>
      </w:r>
      <w:r>
        <w:rPr>
          <w:bCs/>
        </w:rPr>
        <w:t>in</w:t>
      </w:r>
      <w:r w:rsidR="00B00D5A">
        <w:rPr>
          <w:bCs/>
        </w:rPr>
        <w:t xml:space="preserve"> </w:t>
      </w:r>
      <w:r>
        <w:rPr>
          <w:bCs/>
        </w:rPr>
        <w:t xml:space="preserve">a single MG occasion as shown </w:t>
      </w:r>
      <w:r>
        <w:rPr>
          <w:bCs/>
        </w:rPr>
        <w:fldChar w:fldCharType="begin"/>
      </w:r>
      <w:r>
        <w:rPr>
          <w:bCs/>
        </w:rPr>
        <w:instrText xml:space="preserve"> REF _Ref159258804 \h </w:instrText>
      </w:r>
      <w:r>
        <w:rPr>
          <w:bCs/>
        </w:rPr>
      </w:r>
      <w:r>
        <w:rPr>
          <w:bCs/>
        </w:rPr>
        <w:fldChar w:fldCharType="separate"/>
      </w:r>
      <w:r>
        <w:t xml:space="preserve">Figure </w:t>
      </w:r>
      <w:r>
        <w:rPr>
          <w:noProof/>
        </w:rPr>
        <w:t>2</w:t>
      </w:r>
      <w:r>
        <w:rPr>
          <w:bCs/>
        </w:rPr>
        <w:fldChar w:fldCharType="end"/>
      </w:r>
      <w:r w:rsidR="00B00D5A">
        <w:rPr>
          <w:bCs/>
        </w:rPr>
        <w:t xml:space="preserve">, the </w:t>
      </w:r>
      <w:r>
        <w:rPr>
          <w:bCs/>
        </w:rPr>
        <w:t>requirements shall not apply.</w:t>
      </w:r>
    </w:p>
    <w:p w14:paraId="6D6E7259" w14:textId="77777777" w:rsidR="00823ACE" w:rsidRDefault="00823ACE" w:rsidP="00823ACE">
      <w:pPr>
        <w:keepNext/>
        <w:jc w:val="both"/>
      </w:pPr>
      <w:r>
        <w:rPr>
          <w:noProof/>
        </w:rPr>
        <w:lastRenderedPageBreak/>
        <w:drawing>
          <wp:inline distT="0" distB="0" distL="0" distR="0" wp14:anchorId="15795DB1" wp14:editId="3DEA269C">
            <wp:extent cx="6120765" cy="146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120765" cy="1467485"/>
                    </a:xfrm>
                    <a:prstGeom prst="rect">
                      <a:avLst/>
                    </a:prstGeom>
                  </pic:spPr>
                </pic:pic>
              </a:graphicData>
            </a:graphic>
          </wp:inline>
        </w:drawing>
      </w:r>
    </w:p>
    <w:p w14:paraId="40C9DA1B" w14:textId="1BEEA5A8" w:rsidR="00B00D5A" w:rsidRDefault="00823ACE" w:rsidP="00823ACE">
      <w:pPr>
        <w:pStyle w:val="Caption"/>
        <w:jc w:val="center"/>
        <w:rPr>
          <w:bCs w:val="0"/>
        </w:rPr>
      </w:pPr>
      <w:bookmarkStart w:id="3" w:name="_Ref159258732"/>
      <w:r>
        <w:t xml:space="preserve">Figure </w:t>
      </w:r>
      <w:fldSimple w:instr=" SEQ Figure \* ARABIC ">
        <w:r>
          <w:rPr>
            <w:noProof/>
          </w:rPr>
          <w:t>1</w:t>
        </w:r>
      </w:fldSimple>
      <w:bookmarkEnd w:id="3"/>
      <w:r>
        <w:t>: All the hops are within a single MG occasion.</w:t>
      </w:r>
    </w:p>
    <w:p w14:paraId="6FFA137F" w14:textId="77777777" w:rsidR="00823ACE" w:rsidRDefault="00823ACE" w:rsidP="00823ACE">
      <w:pPr>
        <w:keepNext/>
        <w:jc w:val="both"/>
      </w:pPr>
      <w:r>
        <w:rPr>
          <w:noProof/>
        </w:rPr>
        <w:drawing>
          <wp:inline distT="0" distB="0" distL="0" distR="0" wp14:anchorId="27B577C0" wp14:editId="77F8DA07">
            <wp:extent cx="6120765" cy="1506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6120765" cy="1506855"/>
                    </a:xfrm>
                    <a:prstGeom prst="rect">
                      <a:avLst/>
                    </a:prstGeom>
                  </pic:spPr>
                </pic:pic>
              </a:graphicData>
            </a:graphic>
          </wp:inline>
        </w:drawing>
      </w:r>
    </w:p>
    <w:p w14:paraId="36747E36" w14:textId="18AEC91E" w:rsidR="00823ACE" w:rsidRDefault="00823ACE" w:rsidP="00823ACE">
      <w:pPr>
        <w:pStyle w:val="Caption"/>
        <w:jc w:val="center"/>
        <w:rPr>
          <w:b w:val="0"/>
          <w:bCs w:val="0"/>
        </w:rPr>
      </w:pPr>
      <w:bookmarkStart w:id="4" w:name="_Ref159258804"/>
      <w:r>
        <w:t xml:space="preserve">Figure </w:t>
      </w:r>
      <w:fldSimple w:instr=" SEQ Figure \* ARABIC ">
        <w:r>
          <w:rPr>
            <w:noProof/>
          </w:rPr>
          <w:t>2</w:t>
        </w:r>
      </w:fldSimple>
      <w:bookmarkEnd w:id="4"/>
      <w:r>
        <w:t>: Some hops are within a single MG occasion.</w:t>
      </w:r>
    </w:p>
    <w:p w14:paraId="4F9B7098" w14:textId="77777777" w:rsidR="00823ACE" w:rsidRDefault="00823ACE" w:rsidP="00B00D5A">
      <w:pPr>
        <w:jc w:val="both"/>
        <w:rPr>
          <w:b/>
          <w:bCs/>
        </w:rPr>
      </w:pPr>
    </w:p>
    <w:p w14:paraId="1CA85028" w14:textId="77777777" w:rsidR="00823ACE" w:rsidRDefault="00823ACE" w:rsidP="00B00D5A">
      <w:pPr>
        <w:jc w:val="both"/>
        <w:rPr>
          <w:b/>
          <w:bCs/>
        </w:rPr>
      </w:pPr>
    </w:p>
    <w:p w14:paraId="1AC11541" w14:textId="768CFDC8" w:rsidR="00B00D5A" w:rsidRDefault="00B00D5A" w:rsidP="00B00D5A">
      <w:pPr>
        <w:jc w:val="both"/>
        <w:rPr>
          <w:b/>
          <w:bCs/>
        </w:rPr>
      </w:pPr>
      <w:r>
        <w:rPr>
          <w:b/>
          <w:bCs/>
        </w:rPr>
        <w:t xml:space="preserve">Proposal </w:t>
      </w:r>
      <w:r w:rsidR="00823ACE">
        <w:rPr>
          <w:b/>
          <w:bCs/>
        </w:rPr>
        <w:t>1</w:t>
      </w:r>
      <w:r>
        <w:rPr>
          <w:b/>
          <w:bCs/>
        </w:rPr>
        <w:t xml:space="preserve">: </w:t>
      </w:r>
      <w:r w:rsidR="00823ACE">
        <w:rPr>
          <w:b/>
          <w:bCs/>
        </w:rPr>
        <w:t>W</w:t>
      </w:r>
      <w:r w:rsidR="00823ACE" w:rsidRPr="00823ACE">
        <w:rPr>
          <w:b/>
          <w:bCs/>
        </w:rPr>
        <w:t xml:space="preserve">hen the number of hops within a single MG occasion is </w:t>
      </w:r>
      <w:r w:rsidR="00F266FC" w:rsidRPr="00F266FC">
        <w:rPr>
          <w:b/>
          <w:bCs/>
        </w:rPr>
        <w:t xml:space="preserve">equal to the total number of hops required to cover the entire </w:t>
      </w:r>
      <w:r w:rsidR="00F266FC">
        <w:rPr>
          <w:b/>
          <w:bCs/>
        </w:rPr>
        <w:t>BW</w:t>
      </w:r>
      <w:r w:rsidR="00F266FC" w:rsidRPr="00F266FC">
        <w:rPr>
          <w:b/>
          <w:bCs/>
        </w:rPr>
        <w:t xml:space="preserve"> of PRS resources</w:t>
      </w:r>
      <w:r w:rsidR="00823ACE">
        <w:rPr>
          <w:b/>
          <w:bCs/>
        </w:rPr>
        <w:t>, m</w:t>
      </w:r>
      <w:r w:rsidR="00823ACE" w:rsidRPr="00823ACE">
        <w:rPr>
          <w:b/>
          <w:bCs/>
        </w:rPr>
        <w:t>easurement delay requirements for</w:t>
      </w:r>
      <w:r w:rsidR="00823ACE">
        <w:rPr>
          <w:b/>
          <w:bCs/>
        </w:rPr>
        <w:t xml:space="preserve"> RedCap positioning with</w:t>
      </w:r>
      <w:r w:rsidR="00823ACE" w:rsidRPr="00823ACE">
        <w:rPr>
          <w:b/>
          <w:bCs/>
        </w:rPr>
        <w:t xml:space="preserve"> FH can reuse</w:t>
      </w:r>
      <w:r w:rsidR="00823ACE">
        <w:rPr>
          <w:b/>
          <w:bCs/>
        </w:rPr>
        <w:t xml:space="preserve"> </w:t>
      </w:r>
      <w:r w:rsidR="00823ACE" w:rsidRPr="00823ACE">
        <w:rPr>
          <w:b/>
          <w:bCs/>
        </w:rPr>
        <w:t>R17 positioning measurement delay with gap</w:t>
      </w:r>
      <w:r>
        <w:rPr>
          <w:b/>
          <w:bCs/>
        </w:rPr>
        <w:t>.</w:t>
      </w:r>
      <w:r w:rsidR="00823ACE">
        <w:rPr>
          <w:b/>
          <w:bCs/>
        </w:rPr>
        <w:t xml:space="preserve"> </w:t>
      </w:r>
      <w:r w:rsidR="00823ACE" w:rsidRPr="00823ACE">
        <w:rPr>
          <w:b/>
          <w:bCs/>
        </w:rPr>
        <w:t xml:space="preserve">Otherwise, when only some of the </w:t>
      </w:r>
      <w:r w:rsidR="00823ACE">
        <w:rPr>
          <w:b/>
          <w:bCs/>
        </w:rPr>
        <w:t xml:space="preserve">total </w:t>
      </w:r>
      <w:r w:rsidR="00823ACE" w:rsidRPr="00823ACE">
        <w:rPr>
          <w:b/>
          <w:bCs/>
        </w:rPr>
        <w:t xml:space="preserve">hops </w:t>
      </w:r>
      <w:r w:rsidR="00823ACE">
        <w:rPr>
          <w:b/>
          <w:bCs/>
        </w:rPr>
        <w:t>are</w:t>
      </w:r>
      <w:r w:rsidR="00823ACE" w:rsidRPr="00823ACE">
        <w:rPr>
          <w:b/>
          <w:bCs/>
        </w:rPr>
        <w:t xml:space="preserve"> received within a single MG occasion, the requirements shall not apply.</w:t>
      </w:r>
    </w:p>
    <w:p w14:paraId="34D76156" w14:textId="75906191" w:rsidR="00DB5137" w:rsidRPr="0090120A" w:rsidRDefault="00DB5137" w:rsidP="004F703A">
      <w:pPr>
        <w:jc w:val="both"/>
        <w:rPr>
          <w:lang w:val="en-US"/>
        </w:rPr>
      </w:pPr>
    </w:p>
    <w:p w14:paraId="2A3739F7" w14:textId="544A2EE6" w:rsidR="002634C9" w:rsidRPr="004D4F98" w:rsidRDefault="002634C9" w:rsidP="002634C9">
      <w:pPr>
        <w:pStyle w:val="Heading1"/>
        <w:rPr>
          <w:lang w:val="en-US"/>
        </w:rPr>
      </w:pPr>
      <w:r w:rsidRPr="004D4F98">
        <w:rPr>
          <w:lang w:val="en-US"/>
        </w:rPr>
        <w:t>Summary</w:t>
      </w:r>
    </w:p>
    <w:p w14:paraId="41ACA455" w14:textId="67CE6C11"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823ACE">
        <w:rPr>
          <w:lang w:eastAsia="ja-JP"/>
        </w:rPr>
        <w:t xml:space="preserve">proposals </w:t>
      </w:r>
      <w:r w:rsidR="00462F25">
        <w:rPr>
          <w:lang w:eastAsia="ja-JP"/>
        </w:rPr>
        <w:t>is reached:</w:t>
      </w:r>
    </w:p>
    <w:p w14:paraId="20C98260" w14:textId="77777777" w:rsidR="00F266FC" w:rsidRDefault="00F266FC" w:rsidP="00F266FC">
      <w:pPr>
        <w:jc w:val="both"/>
        <w:rPr>
          <w:b/>
          <w:bCs/>
        </w:rPr>
      </w:pPr>
      <w:r>
        <w:rPr>
          <w:b/>
          <w:bCs/>
        </w:rPr>
        <w:t>Proposal 1: When the number of hops within a single MG occasion is equal to the total number of hops required to cover the entire BW of PRS resources, measurement delay requirements for RedCap positioning with FH can reuse R17 positioning measurement delay with gap. Otherwise, when only some of the total hops are received within a single MG occasion, the requirements shall not apply.</w:t>
      </w:r>
    </w:p>
    <w:p w14:paraId="1C5BB5EE" w14:textId="77777777" w:rsidR="00823ACE" w:rsidRDefault="00823ACE" w:rsidP="00823ACE">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066EB675" w:rsidR="007F0057" w:rsidRDefault="009632A9" w:rsidP="009632A9">
      <w:pPr>
        <w:pStyle w:val="ListParagraph"/>
        <w:numPr>
          <w:ilvl w:val="0"/>
          <w:numId w:val="2"/>
        </w:numPr>
      </w:pPr>
      <w:bookmarkStart w:id="5" w:name="_Ref91246572"/>
      <w:bookmarkStart w:id="6" w:name="_Ref127556755"/>
      <w:bookmarkStart w:id="7" w:name="_Ref135050850"/>
      <w:r w:rsidRPr="0086725F">
        <w:t>R4</w:t>
      </w:r>
      <w:r w:rsidRPr="0086725F">
        <w:noBreakHyphen/>
      </w:r>
      <w:r w:rsidR="00B92A43" w:rsidRPr="00B92A43">
        <w:t>2321543</w:t>
      </w:r>
      <w:r>
        <w:t xml:space="preserve">, </w:t>
      </w:r>
      <w:bookmarkEnd w:id="5"/>
      <w:r w:rsidR="00B92A43" w:rsidRPr="00B92A43">
        <w:t>WF on R18 NR positioning – RedCap positioning and PRS/SRS BW aggregation</w:t>
      </w:r>
      <w:r w:rsidR="00312BA1">
        <w:t xml:space="preserve">, </w:t>
      </w:r>
      <w:bookmarkEnd w:id="6"/>
      <w:r w:rsidR="0087355B" w:rsidRPr="0087355B">
        <w:t>Ericsson</w:t>
      </w:r>
      <w:r w:rsidR="0087355B">
        <w:t>.</w:t>
      </w:r>
      <w:bookmarkEnd w:id="7"/>
    </w:p>
    <w:p w14:paraId="531CC34F" w14:textId="530DE235" w:rsidR="004431EA" w:rsidRDefault="004431EA" w:rsidP="009632A9">
      <w:pPr>
        <w:pStyle w:val="ListParagraph"/>
        <w:numPr>
          <w:ilvl w:val="0"/>
          <w:numId w:val="2"/>
        </w:numPr>
      </w:pPr>
      <w:bookmarkStart w:id="8" w:name="_Ref142312034"/>
      <w:r w:rsidRPr="004431EA">
        <w:t>R1-2306227</w:t>
      </w:r>
      <w:r>
        <w:t xml:space="preserve">, </w:t>
      </w:r>
      <w:r w:rsidRPr="004431EA">
        <w:t>LS on the use of a single measurement gap for DL PRS with Rx hopping measurement</w:t>
      </w:r>
      <w:r>
        <w:t xml:space="preserve">, </w:t>
      </w:r>
      <w:r w:rsidRPr="0087355B">
        <w:t>Ericsson</w:t>
      </w:r>
      <w:r>
        <w:t>.</w:t>
      </w:r>
      <w:bookmarkEnd w:id="8"/>
    </w:p>
    <w:p w14:paraId="48BD853C" w14:textId="30CCB4C8" w:rsidR="006A7A50" w:rsidRPr="001A5974" w:rsidRDefault="00191D5E" w:rsidP="00823ACE">
      <w:pPr>
        <w:pStyle w:val="ListParagraph"/>
        <w:numPr>
          <w:ilvl w:val="0"/>
          <w:numId w:val="2"/>
        </w:numPr>
      </w:pPr>
      <w:bookmarkStart w:id="9" w:name="_Ref110524165"/>
      <w:bookmarkStart w:id="10" w:name="_Ref101774927"/>
      <w:r w:rsidRPr="00B362C9">
        <w:t xml:space="preserve">3GPP TS </w:t>
      </w:r>
      <w:r w:rsidR="00823ACE" w:rsidRPr="00823ACE">
        <w:t>38.214</w:t>
      </w:r>
      <w:r w:rsidRPr="00B362C9">
        <w:t>, V1</w:t>
      </w:r>
      <w:r>
        <w:t>8</w:t>
      </w:r>
      <w:r w:rsidRPr="00B362C9">
        <w:t>.</w:t>
      </w:r>
      <w:r>
        <w:t>1</w:t>
      </w:r>
      <w:r w:rsidRPr="00B362C9">
        <w:t xml:space="preserve">.0, “NR; </w:t>
      </w:r>
      <w:r w:rsidR="00823ACE" w:rsidRPr="00823ACE">
        <w:t>Physical layer procedures for data</w:t>
      </w:r>
      <w:r w:rsidRPr="00B362C9">
        <w:t>”.</w:t>
      </w:r>
      <w:bookmarkEnd w:id="9"/>
      <w:bookmarkEnd w:id="10"/>
    </w:p>
    <w:sectPr w:rsidR="006A7A50" w:rsidRPr="001A5974"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80F2" w14:textId="77777777" w:rsidR="00B80282" w:rsidRDefault="00B80282">
      <w:r>
        <w:separator/>
      </w:r>
    </w:p>
  </w:endnote>
  <w:endnote w:type="continuationSeparator" w:id="0">
    <w:p w14:paraId="541AB757" w14:textId="77777777" w:rsidR="00B80282" w:rsidRDefault="00B8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A584" w14:textId="77777777" w:rsidR="00B80282" w:rsidRDefault="00B80282">
      <w:r>
        <w:separator/>
      </w:r>
    </w:p>
  </w:footnote>
  <w:footnote w:type="continuationSeparator" w:id="0">
    <w:p w14:paraId="38A6E102" w14:textId="77777777" w:rsidR="00B80282" w:rsidRDefault="00B80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0418C"/>
    <w:multiLevelType w:val="hybridMultilevel"/>
    <w:tmpl w:val="B37A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4B5B4F"/>
    <w:multiLevelType w:val="multilevel"/>
    <w:tmpl w:val="7E006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hybridMultilevel"/>
    <w:tmpl w:val="306AAE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5390461"/>
    <w:multiLevelType w:val="hybridMultilevel"/>
    <w:tmpl w:val="E176F10A"/>
    <w:lvl w:ilvl="0" w:tplc="370E99B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DB71E49"/>
    <w:multiLevelType w:val="hybridMultilevel"/>
    <w:tmpl w:val="F97E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698460429">
    <w:abstractNumId w:val="33"/>
  </w:num>
  <w:num w:numId="2" w16cid:durableId="16525648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6065499">
    <w:abstractNumId w:val="16"/>
  </w:num>
  <w:num w:numId="4" w16cid:durableId="733240760">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522786770">
    <w:abstractNumId w:val="0"/>
  </w:num>
  <w:num w:numId="6" w16cid:durableId="1539047652">
    <w:abstractNumId w:val="17"/>
  </w:num>
  <w:num w:numId="7" w16cid:durableId="859900167">
    <w:abstractNumId w:val="23"/>
  </w:num>
  <w:num w:numId="8" w16cid:durableId="337734772">
    <w:abstractNumId w:val="4"/>
  </w:num>
  <w:num w:numId="9" w16cid:durableId="909388737">
    <w:abstractNumId w:val="23"/>
  </w:num>
  <w:num w:numId="10" w16cid:durableId="1366523399">
    <w:abstractNumId w:val="6"/>
  </w:num>
  <w:num w:numId="11" w16cid:durableId="209923109">
    <w:abstractNumId w:val="23"/>
  </w:num>
  <w:num w:numId="12" w16cid:durableId="750810089">
    <w:abstractNumId w:val="29"/>
  </w:num>
  <w:num w:numId="13" w16cid:durableId="1494028569">
    <w:abstractNumId w:val="8"/>
  </w:num>
  <w:num w:numId="14" w16cid:durableId="39482708">
    <w:abstractNumId w:val="11"/>
  </w:num>
  <w:num w:numId="15" w16cid:durableId="878661603">
    <w:abstractNumId w:val="28"/>
  </w:num>
  <w:num w:numId="16" w16cid:durableId="1060519328">
    <w:abstractNumId w:val="3"/>
  </w:num>
  <w:num w:numId="17" w16cid:durableId="774129395">
    <w:abstractNumId w:val="18"/>
  </w:num>
  <w:num w:numId="18" w16cid:durableId="1797021548">
    <w:abstractNumId w:val="23"/>
  </w:num>
  <w:num w:numId="19" w16cid:durableId="2028291820">
    <w:abstractNumId w:val="14"/>
  </w:num>
  <w:num w:numId="20" w16cid:durableId="981616019">
    <w:abstractNumId w:val="25"/>
  </w:num>
  <w:num w:numId="21" w16cid:durableId="824737542">
    <w:abstractNumId w:val="34"/>
  </w:num>
  <w:num w:numId="22" w16cid:durableId="486745621">
    <w:abstractNumId w:val="12"/>
  </w:num>
  <w:num w:numId="23" w16cid:durableId="835346058">
    <w:abstractNumId w:val="5"/>
  </w:num>
  <w:num w:numId="24" w16cid:durableId="1947619833">
    <w:abstractNumId w:val="23"/>
  </w:num>
  <w:num w:numId="25" w16cid:durableId="2141066144">
    <w:abstractNumId w:val="23"/>
  </w:num>
  <w:num w:numId="26" w16cid:durableId="1426221309">
    <w:abstractNumId w:val="17"/>
  </w:num>
  <w:num w:numId="27" w16cid:durableId="941836191">
    <w:abstractNumId w:val="4"/>
  </w:num>
  <w:num w:numId="28" w16cid:durableId="702481156">
    <w:abstractNumId w:val="23"/>
  </w:num>
  <w:num w:numId="29" w16cid:durableId="382874583">
    <w:abstractNumId w:val="23"/>
  </w:num>
  <w:num w:numId="30" w16cid:durableId="2023779617">
    <w:abstractNumId w:val="2"/>
  </w:num>
  <w:num w:numId="31" w16cid:durableId="805313121">
    <w:abstractNumId w:val="19"/>
  </w:num>
  <w:num w:numId="32" w16cid:durableId="1322197000">
    <w:abstractNumId w:val="10"/>
  </w:num>
  <w:num w:numId="33" w16cid:durableId="190650274">
    <w:abstractNumId w:val="27"/>
  </w:num>
  <w:num w:numId="34" w16cid:durableId="1623488434">
    <w:abstractNumId w:val="20"/>
  </w:num>
  <w:num w:numId="35" w16cid:durableId="1998073347">
    <w:abstractNumId w:val="9"/>
  </w:num>
  <w:num w:numId="36" w16cid:durableId="1939368117">
    <w:abstractNumId w:val="15"/>
  </w:num>
  <w:num w:numId="37" w16cid:durableId="1410926187">
    <w:abstractNumId w:val="21"/>
  </w:num>
  <w:num w:numId="38" w16cid:durableId="554007181">
    <w:abstractNumId w:val="13"/>
  </w:num>
  <w:num w:numId="39" w16cid:durableId="884373011">
    <w:abstractNumId w:val="23"/>
  </w:num>
  <w:num w:numId="40" w16cid:durableId="834959068">
    <w:abstractNumId w:val="23"/>
  </w:num>
  <w:num w:numId="41" w16cid:durableId="1675642538">
    <w:abstractNumId w:val="26"/>
  </w:num>
  <w:num w:numId="42" w16cid:durableId="2037537615">
    <w:abstractNumId w:val="22"/>
  </w:num>
  <w:num w:numId="43" w16cid:durableId="516577832">
    <w:abstractNumId w:val="30"/>
  </w:num>
  <w:num w:numId="44" w16cid:durableId="924192057">
    <w:abstractNumId w:val="32"/>
  </w:num>
  <w:num w:numId="45" w16cid:durableId="93551647">
    <w:abstractNumId w:val="1"/>
  </w:num>
  <w:num w:numId="46" w16cid:durableId="1429230457">
    <w:abstractNumId w:val="24"/>
  </w:num>
  <w:num w:numId="47" w16cid:durableId="982268678">
    <w:abstractNumId w:val="30"/>
  </w:num>
  <w:num w:numId="48" w16cid:durableId="1050882144">
    <w:abstractNumId w:val="26"/>
  </w:num>
  <w:num w:numId="49" w16cid:durableId="1507789814">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2B4"/>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96F"/>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0ACA"/>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302"/>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635"/>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2F0"/>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66C"/>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479"/>
    <w:rsid w:val="00143060"/>
    <w:rsid w:val="001437DC"/>
    <w:rsid w:val="00143A83"/>
    <w:rsid w:val="00144042"/>
    <w:rsid w:val="0014451A"/>
    <w:rsid w:val="00144674"/>
    <w:rsid w:val="00144723"/>
    <w:rsid w:val="001448F9"/>
    <w:rsid w:val="00144C17"/>
    <w:rsid w:val="00144F09"/>
    <w:rsid w:val="001457B4"/>
    <w:rsid w:val="00145A7E"/>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476"/>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52B"/>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1D5E"/>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8BA"/>
    <w:rsid w:val="001B4909"/>
    <w:rsid w:val="001B5849"/>
    <w:rsid w:val="001B5FD3"/>
    <w:rsid w:val="001B68D8"/>
    <w:rsid w:val="001B6AFB"/>
    <w:rsid w:val="001B6BD6"/>
    <w:rsid w:val="001B6F88"/>
    <w:rsid w:val="001B7725"/>
    <w:rsid w:val="001C0C57"/>
    <w:rsid w:val="001C0CB2"/>
    <w:rsid w:val="001C10FC"/>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EE5"/>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3D4A"/>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53C"/>
    <w:rsid w:val="00204F98"/>
    <w:rsid w:val="00205584"/>
    <w:rsid w:val="0020630D"/>
    <w:rsid w:val="00206528"/>
    <w:rsid w:val="002068CF"/>
    <w:rsid w:val="00206DE1"/>
    <w:rsid w:val="00207282"/>
    <w:rsid w:val="00207287"/>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221"/>
    <w:rsid w:val="00215968"/>
    <w:rsid w:val="00215F23"/>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7DA"/>
    <w:rsid w:val="002409EC"/>
    <w:rsid w:val="0024135F"/>
    <w:rsid w:val="0024189E"/>
    <w:rsid w:val="00241982"/>
    <w:rsid w:val="0024209F"/>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469B"/>
    <w:rsid w:val="00265078"/>
    <w:rsid w:val="002661F3"/>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27D"/>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B93"/>
    <w:rsid w:val="002A3CBF"/>
    <w:rsid w:val="002A403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68DE"/>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1E8F"/>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97B"/>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BA1"/>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6C33"/>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87575"/>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922"/>
    <w:rsid w:val="003A0E52"/>
    <w:rsid w:val="003A1B43"/>
    <w:rsid w:val="003A1CD6"/>
    <w:rsid w:val="003A25C7"/>
    <w:rsid w:val="003A2B81"/>
    <w:rsid w:val="003A2BF9"/>
    <w:rsid w:val="003A3260"/>
    <w:rsid w:val="003A345E"/>
    <w:rsid w:val="003A3B92"/>
    <w:rsid w:val="003A3DE1"/>
    <w:rsid w:val="003A4CC6"/>
    <w:rsid w:val="003A554E"/>
    <w:rsid w:val="003A56B0"/>
    <w:rsid w:val="003A5AF2"/>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88C"/>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A13"/>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583"/>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749"/>
    <w:rsid w:val="00441BFC"/>
    <w:rsid w:val="00442B9A"/>
    <w:rsid w:val="00442C1B"/>
    <w:rsid w:val="004431EA"/>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97D"/>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25"/>
    <w:rsid w:val="00462FAD"/>
    <w:rsid w:val="004630FD"/>
    <w:rsid w:val="004639CD"/>
    <w:rsid w:val="00463CFB"/>
    <w:rsid w:val="00464B2A"/>
    <w:rsid w:val="00464FB6"/>
    <w:rsid w:val="00465497"/>
    <w:rsid w:val="00465677"/>
    <w:rsid w:val="00466141"/>
    <w:rsid w:val="004662A2"/>
    <w:rsid w:val="004667DC"/>
    <w:rsid w:val="004670D0"/>
    <w:rsid w:val="004671B4"/>
    <w:rsid w:val="0046724B"/>
    <w:rsid w:val="0046796D"/>
    <w:rsid w:val="00470206"/>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4A82"/>
    <w:rsid w:val="004A4B3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7E7"/>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B1D"/>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670"/>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107"/>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2C3"/>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7DC"/>
    <w:rsid w:val="00590E17"/>
    <w:rsid w:val="0059127D"/>
    <w:rsid w:val="00591645"/>
    <w:rsid w:val="00591F24"/>
    <w:rsid w:val="00592319"/>
    <w:rsid w:val="00592C13"/>
    <w:rsid w:val="00592D47"/>
    <w:rsid w:val="0059321E"/>
    <w:rsid w:val="00593296"/>
    <w:rsid w:val="00593899"/>
    <w:rsid w:val="0059399E"/>
    <w:rsid w:val="00593A00"/>
    <w:rsid w:val="00593F9B"/>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E5C"/>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4"/>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D7F49"/>
    <w:rsid w:val="005E023A"/>
    <w:rsid w:val="005E08A0"/>
    <w:rsid w:val="005E0FE9"/>
    <w:rsid w:val="005E1040"/>
    <w:rsid w:val="005E12CD"/>
    <w:rsid w:val="005E167C"/>
    <w:rsid w:val="005E1D75"/>
    <w:rsid w:val="005E1EDA"/>
    <w:rsid w:val="005E203B"/>
    <w:rsid w:val="005E2577"/>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BC6"/>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510"/>
    <w:rsid w:val="00624744"/>
    <w:rsid w:val="006253EA"/>
    <w:rsid w:val="0062567F"/>
    <w:rsid w:val="00625883"/>
    <w:rsid w:val="0062619D"/>
    <w:rsid w:val="006266F4"/>
    <w:rsid w:val="00626813"/>
    <w:rsid w:val="006268B4"/>
    <w:rsid w:val="006269C2"/>
    <w:rsid w:val="00626D1C"/>
    <w:rsid w:val="00626DEA"/>
    <w:rsid w:val="00627679"/>
    <w:rsid w:val="006279E1"/>
    <w:rsid w:val="00630382"/>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47CBA"/>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3B2"/>
    <w:rsid w:val="0066058F"/>
    <w:rsid w:val="00660860"/>
    <w:rsid w:val="00660CB2"/>
    <w:rsid w:val="00660D46"/>
    <w:rsid w:val="00660E33"/>
    <w:rsid w:val="0066190A"/>
    <w:rsid w:val="00662272"/>
    <w:rsid w:val="00662323"/>
    <w:rsid w:val="006625D8"/>
    <w:rsid w:val="006629CE"/>
    <w:rsid w:val="00662AA2"/>
    <w:rsid w:val="00662F53"/>
    <w:rsid w:val="00662FA1"/>
    <w:rsid w:val="006630F7"/>
    <w:rsid w:val="006633B6"/>
    <w:rsid w:val="006635E1"/>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631"/>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854"/>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5D1"/>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D27"/>
    <w:rsid w:val="00774EC3"/>
    <w:rsid w:val="007752C8"/>
    <w:rsid w:val="00775E5C"/>
    <w:rsid w:val="00775E73"/>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37B1"/>
    <w:rsid w:val="00793C71"/>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AE1"/>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859"/>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3F5"/>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7A3"/>
    <w:rsid w:val="0081793F"/>
    <w:rsid w:val="00817985"/>
    <w:rsid w:val="00817C52"/>
    <w:rsid w:val="00820304"/>
    <w:rsid w:val="00820A17"/>
    <w:rsid w:val="00821225"/>
    <w:rsid w:val="008219B8"/>
    <w:rsid w:val="00821DE9"/>
    <w:rsid w:val="00821E3F"/>
    <w:rsid w:val="00822AFF"/>
    <w:rsid w:val="00823747"/>
    <w:rsid w:val="00823958"/>
    <w:rsid w:val="00823A6E"/>
    <w:rsid w:val="00823AC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34F"/>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25F"/>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355B"/>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2939"/>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D90"/>
    <w:rsid w:val="008A6F0E"/>
    <w:rsid w:val="008A7398"/>
    <w:rsid w:val="008A74F3"/>
    <w:rsid w:val="008A787F"/>
    <w:rsid w:val="008A7BB6"/>
    <w:rsid w:val="008B0103"/>
    <w:rsid w:val="008B0549"/>
    <w:rsid w:val="008B0E36"/>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048"/>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8E1"/>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BFA"/>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20A"/>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9E9"/>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1ED"/>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1DE1"/>
    <w:rsid w:val="009720A9"/>
    <w:rsid w:val="009723CD"/>
    <w:rsid w:val="00972462"/>
    <w:rsid w:val="00973160"/>
    <w:rsid w:val="0097388B"/>
    <w:rsid w:val="00973BD9"/>
    <w:rsid w:val="00973CA9"/>
    <w:rsid w:val="0097443A"/>
    <w:rsid w:val="009744E3"/>
    <w:rsid w:val="0097459B"/>
    <w:rsid w:val="00974EDC"/>
    <w:rsid w:val="009751F6"/>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16C"/>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10A"/>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2CA"/>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0FD8"/>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D1C"/>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209"/>
    <w:rsid w:val="00A14955"/>
    <w:rsid w:val="00A14C5B"/>
    <w:rsid w:val="00A14F6C"/>
    <w:rsid w:val="00A15C9C"/>
    <w:rsid w:val="00A15E05"/>
    <w:rsid w:val="00A160A6"/>
    <w:rsid w:val="00A1654E"/>
    <w:rsid w:val="00A16D59"/>
    <w:rsid w:val="00A16F62"/>
    <w:rsid w:val="00A1794F"/>
    <w:rsid w:val="00A205D3"/>
    <w:rsid w:val="00A2125E"/>
    <w:rsid w:val="00A2185F"/>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CC0"/>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3B3D"/>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465"/>
    <w:rsid w:val="00A82869"/>
    <w:rsid w:val="00A8317B"/>
    <w:rsid w:val="00A83413"/>
    <w:rsid w:val="00A8364F"/>
    <w:rsid w:val="00A83BC6"/>
    <w:rsid w:val="00A84316"/>
    <w:rsid w:val="00A845F8"/>
    <w:rsid w:val="00A84E36"/>
    <w:rsid w:val="00A852C5"/>
    <w:rsid w:val="00A866C1"/>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0D5A"/>
    <w:rsid w:val="00B0137E"/>
    <w:rsid w:val="00B014D2"/>
    <w:rsid w:val="00B01C15"/>
    <w:rsid w:val="00B01DE7"/>
    <w:rsid w:val="00B02302"/>
    <w:rsid w:val="00B02B52"/>
    <w:rsid w:val="00B02D0B"/>
    <w:rsid w:val="00B02F46"/>
    <w:rsid w:val="00B038D8"/>
    <w:rsid w:val="00B03EBF"/>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24"/>
    <w:rsid w:val="00B23FA8"/>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37BB2"/>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7AC"/>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1D2"/>
    <w:rsid w:val="00B6324B"/>
    <w:rsid w:val="00B636AE"/>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282"/>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A43"/>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6DA3"/>
    <w:rsid w:val="00BB738D"/>
    <w:rsid w:val="00BB7549"/>
    <w:rsid w:val="00BB798E"/>
    <w:rsid w:val="00BB7D06"/>
    <w:rsid w:val="00BC078D"/>
    <w:rsid w:val="00BC0A33"/>
    <w:rsid w:val="00BC12E3"/>
    <w:rsid w:val="00BC136D"/>
    <w:rsid w:val="00BC1811"/>
    <w:rsid w:val="00BC1A02"/>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0ADF"/>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28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297"/>
    <w:rsid w:val="00C303A3"/>
    <w:rsid w:val="00C3059C"/>
    <w:rsid w:val="00C30B84"/>
    <w:rsid w:val="00C3105D"/>
    <w:rsid w:val="00C3107E"/>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6E31"/>
    <w:rsid w:val="00C47933"/>
    <w:rsid w:val="00C47E23"/>
    <w:rsid w:val="00C47F88"/>
    <w:rsid w:val="00C5024D"/>
    <w:rsid w:val="00C50E13"/>
    <w:rsid w:val="00C520DC"/>
    <w:rsid w:val="00C522AF"/>
    <w:rsid w:val="00C526D5"/>
    <w:rsid w:val="00C52FFE"/>
    <w:rsid w:val="00C53035"/>
    <w:rsid w:val="00C5306A"/>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5A0"/>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2E6"/>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282"/>
    <w:rsid w:val="00CB3492"/>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354A"/>
    <w:rsid w:val="00D24238"/>
    <w:rsid w:val="00D24360"/>
    <w:rsid w:val="00D24540"/>
    <w:rsid w:val="00D24744"/>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91"/>
    <w:rsid w:val="00D325E5"/>
    <w:rsid w:val="00D333B9"/>
    <w:rsid w:val="00D3358C"/>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4BF"/>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56A"/>
    <w:rsid w:val="00D51626"/>
    <w:rsid w:val="00D516EA"/>
    <w:rsid w:val="00D517B9"/>
    <w:rsid w:val="00D521A0"/>
    <w:rsid w:val="00D521FC"/>
    <w:rsid w:val="00D52227"/>
    <w:rsid w:val="00D52332"/>
    <w:rsid w:val="00D52955"/>
    <w:rsid w:val="00D52C3A"/>
    <w:rsid w:val="00D535EA"/>
    <w:rsid w:val="00D5393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6B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137"/>
    <w:rsid w:val="00DB553D"/>
    <w:rsid w:val="00DB573D"/>
    <w:rsid w:val="00DB5D0B"/>
    <w:rsid w:val="00DB6599"/>
    <w:rsid w:val="00DB6ABE"/>
    <w:rsid w:val="00DB6B18"/>
    <w:rsid w:val="00DB6D07"/>
    <w:rsid w:val="00DB7D23"/>
    <w:rsid w:val="00DB7FE2"/>
    <w:rsid w:val="00DC0129"/>
    <w:rsid w:val="00DC0286"/>
    <w:rsid w:val="00DC0919"/>
    <w:rsid w:val="00DC19AE"/>
    <w:rsid w:val="00DC1D1E"/>
    <w:rsid w:val="00DC1D36"/>
    <w:rsid w:val="00DC1E2B"/>
    <w:rsid w:val="00DC20AD"/>
    <w:rsid w:val="00DC26A1"/>
    <w:rsid w:val="00DC2789"/>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1BF"/>
    <w:rsid w:val="00DF64F5"/>
    <w:rsid w:val="00DF667F"/>
    <w:rsid w:val="00DF6D25"/>
    <w:rsid w:val="00DF6D8B"/>
    <w:rsid w:val="00DF762B"/>
    <w:rsid w:val="00DF76B0"/>
    <w:rsid w:val="00DF7721"/>
    <w:rsid w:val="00DF7C9D"/>
    <w:rsid w:val="00E001FC"/>
    <w:rsid w:val="00E004F9"/>
    <w:rsid w:val="00E006B9"/>
    <w:rsid w:val="00E00D91"/>
    <w:rsid w:val="00E013B0"/>
    <w:rsid w:val="00E015C9"/>
    <w:rsid w:val="00E017A4"/>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6BF2"/>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3DD"/>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32"/>
    <w:rsid w:val="00E75B6E"/>
    <w:rsid w:val="00E75BD2"/>
    <w:rsid w:val="00E76B4A"/>
    <w:rsid w:val="00E76CE7"/>
    <w:rsid w:val="00E7754A"/>
    <w:rsid w:val="00E77735"/>
    <w:rsid w:val="00E77B5E"/>
    <w:rsid w:val="00E77B60"/>
    <w:rsid w:val="00E80E27"/>
    <w:rsid w:val="00E8147B"/>
    <w:rsid w:val="00E816DE"/>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12F"/>
    <w:rsid w:val="00E9484E"/>
    <w:rsid w:val="00E94C71"/>
    <w:rsid w:val="00E94CA0"/>
    <w:rsid w:val="00E94E59"/>
    <w:rsid w:val="00E94EE5"/>
    <w:rsid w:val="00E95C94"/>
    <w:rsid w:val="00E968EA"/>
    <w:rsid w:val="00E9692F"/>
    <w:rsid w:val="00E96A55"/>
    <w:rsid w:val="00E96E15"/>
    <w:rsid w:val="00E96E4D"/>
    <w:rsid w:val="00E9749C"/>
    <w:rsid w:val="00E97EED"/>
    <w:rsid w:val="00EA009F"/>
    <w:rsid w:val="00EA04AF"/>
    <w:rsid w:val="00EA0AAB"/>
    <w:rsid w:val="00EA0E9A"/>
    <w:rsid w:val="00EA1059"/>
    <w:rsid w:val="00EA1209"/>
    <w:rsid w:val="00EA193A"/>
    <w:rsid w:val="00EA20BE"/>
    <w:rsid w:val="00EA27F8"/>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8A8"/>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E74CA"/>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1AD"/>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6FC"/>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419"/>
    <w:rsid w:val="00F805E5"/>
    <w:rsid w:val="00F80BFF"/>
    <w:rsid w:val="00F80DAB"/>
    <w:rsid w:val="00F8144F"/>
    <w:rsid w:val="00F8145A"/>
    <w:rsid w:val="00F815AA"/>
    <w:rsid w:val="00F81CB5"/>
    <w:rsid w:val="00F82710"/>
    <w:rsid w:val="00F82743"/>
    <w:rsid w:val="00F837D2"/>
    <w:rsid w:val="00F840FD"/>
    <w:rsid w:val="00F8413B"/>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A2D"/>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850"/>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D1E"/>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C1D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D1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431E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837993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5003532">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1059899">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353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5495163">
      <w:bodyDiv w:val="1"/>
      <w:marLeft w:val="0"/>
      <w:marRight w:val="0"/>
      <w:marTop w:val="0"/>
      <w:marBottom w:val="0"/>
      <w:divBdr>
        <w:top w:val="none" w:sz="0" w:space="0" w:color="auto"/>
        <w:left w:val="none" w:sz="0" w:space="0" w:color="auto"/>
        <w:bottom w:val="none" w:sz="0" w:space="0" w:color="auto"/>
        <w:right w:val="none" w:sz="0" w:space="0" w:color="auto"/>
      </w:divBdr>
      <w:divsChild>
        <w:div w:id="68357685">
          <w:marLeft w:val="0"/>
          <w:marRight w:val="0"/>
          <w:marTop w:val="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8778987">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8458876">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874615">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1647156">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0935301">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265838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3548937">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0994467">
      <w:bodyDiv w:val="1"/>
      <w:marLeft w:val="0"/>
      <w:marRight w:val="0"/>
      <w:marTop w:val="0"/>
      <w:marBottom w:val="0"/>
      <w:divBdr>
        <w:top w:val="none" w:sz="0" w:space="0" w:color="auto"/>
        <w:left w:val="none" w:sz="0" w:space="0" w:color="auto"/>
        <w:bottom w:val="none" w:sz="0" w:space="0" w:color="auto"/>
        <w:right w:val="none" w:sz="0" w:space="0" w:color="auto"/>
      </w:divBdr>
    </w:div>
    <w:div w:id="1216350493">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928894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5400091">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1331568">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7730267">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0924524">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297288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949351">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2024-02-19T22:20:00Z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